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98</w:t>
      </w:r>
    </w:p>
    <w:p>
      <w:r>
        <w:t>Bundesgericht (BGE), 1975-04-25, FR</w:t>
      </w:r>
    </w:p>
    <w:p>
      <w:r>
        <w:rPr>
          <w:b/>
        </w:rPr>
        <w:t xml:space="preserve">Quelle: </w:t>
      </w:r>
      <w:r>
        <w:t>https://mcp.opencaselaw.ch/entscheid/bge_101 IV 98</w:t>
      </w:r>
    </w:p>
    <w:p>
      <w:r>
        <w:t>FR: ATF 101 IV 98</w:t>
      </w:r>
    </w:p>
    <w:p>
      <w:r>
        <w:t>IT: DTF 101 IV 98</w:t>
      </w:r>
    </w:p>
    <w:p>
      <w:pPr>
        <w:pStyle w:val="Heading2"/>
      </w:pPr>
      <w:r>
        <w:t>Regeste</w:t>
      </w:r>
    </w:p>
    <w:p>
      <w:r>
        <w:t>Regeste Art. 226m Abs. 1 OR: Ein Miet-Kauf-Vertrag, von dem der Käufer vor Bezahlung eines Fünftels des Kaufpreises nicht zurücktreten kann, ist einem Kauf auf Abzahlung gleichzustellen (Erw. 2). Art. 5 Abs. 1 der (jetzt aufgehobenen) bundesrätlichen Verordnung vom 10. Januar 1973 über die Kleinkredit- und Abzahlungsgeschäfte; Art. 226m Abs. 4 OR: Ein nach zwei Monaten kündbarer Vertrag, der aber normalerweise höchstens 11 Monate dauern soll, kann ohne vorherige gegenteilige Abmachung nicht als ein Vertrag angesehen werden, der weniger als sechs Monate dauern soll (Erw. 4a). Art. 226m Abs. 4 OR: Nach dieser Bestimmung unterstehen Verträge mit einer Dauer von höchstens sechs Monaten und einem Gesamtkaufpreis von höchstens 200 Franken einer Sonderregelung. Diese Bedingungen sind kumulativ und nicht alternativ, wie dem französischen Text entnommen werden könnte (Erw. 4c).</w:t>
      </w:r>
    </w:p>
    <w:p>
      <w:pPr>
        <w:pStyle w:val="Heading2"/>
      </w:pPr>
      <w:r>
        <w:t>Erwägungen</w:t>
      </w:r>
    </w:p>
    <w:p>
      <w:r>
        <w:rPr>
          <w:b/>
        </w:rPr>
        <w:t>E. 1</w:t>
      </w:r>
    </w:p>
    <w:p>
      <w:r>
        <w:t>Le contrat en cause n'est pas un contrat de location simple, mais un contrat mixte de location-vente, en ce sens que l'intimée s'y engage à remettre à son cocontractant l'usage d'un objet moyennant le versement d'un loyer puis, après un certain temps, à lui en transférer la propriété, soit que la somme des loyers ait atteint le montant du prix, soit qu'il ait exercé un droit d'achat qui lui est conféré (cf. RO 86 IV 162; SCHÖNENBERGER/JÄGGI/SCHMID, no 17 des notes préliminaires ad art. 253-274 CO). Ce caractère de location-vente ressort nettement des conditions générales du contrat et plus particulièrement de l'adjonction manuscrite déjà mentionnée qui y a été apportée par un employé de l'intimée.</w:t>
      </w:r>
    </w:p>
    <w:p>
      <w:r>
        <w:rPr>
          <w:b/>
        </w:rPr>
        <w:t>E. 2</w:t>
      </w:r>
    </w:p>
    <w:p>
      <w:r>
        <w:t>Que le contrat en cause soit une location-vente n'emporte cependant pas qu'il est soumis aux prescriptions de l'ordonnance du 10 janvier 1973. Pour cela, il faut encore qu'il ait poursuivi le même but économique qu'une vente par acomptes. La Cour de justice a reconnu à juste titre que tel est bien le cas, puisque le transfert de propriété apparaît comme le résultat cherché par les deux parties, la mise à disposition ne constituant que l'accessoire (cf. GIGER, Systematische Darstellung des Abzahlungsrechts, p. 135). En effet, celui qui accepte de payer un loyer mensuel représentant le 10% de l'objet loué, et qui s'interdit de résilier le bail avant d'avoir payé au moins deux termes, soit 1/5 de la valeur de cet objet, renonce pratiquement à se dédire du contrat, sauf circonstances exceptionnelles, en raison de la perte qui en résulterait pour lui. Cette obligation de fait qui ne peut être méconnue (cf. STOFER, Kommentar zum Schweiz. BG über den Abzahlungs- und Vorauszahlungsvertrag, 2e éd., p. 143), le Tribunal BGE 101 IV 98 S. 101 fédéral a estimé qu'elle existait en tout cas lorsque le droit de résiliation ne prend naissance qu'une fois payé le tiers de la valeur de la marchandise (RO 95 IV 106), mais il n'a pas examiné l'hypothèse où cette limite ne serait pas atteinte. Certains auteurs estiment avec de bonnes raisons que l'acheteur est lié de facto aussitôt qu'il est tenu de payer 1/6 du prix de vente avant de pouvoir sortir du contrat (STOFER, op.cit., p. 144). En l'occurrence, sans arrêter de limite définitive, il convient d'assimiler le contrat litigieux à une vente par acomptes, en raison des obligations imposées au client de l'intimée.</w:t>
      </w:r>
    </w:p>
    <w:p>
      <w:r>
        <w:rPr>
          <w:b/>
        </w:rPr>
        <w:t>E. 3</w:t>
      </w:r>
    </w:p>
    <w:p>
      <w:r>
        <w:t>Dès lors que le contrat de location-vente en cause poursuit le même but économique qu'une vente par acomptes, il tombe sous le coup de l'art. 6 de l'OCF du 10 janvier 1973, sous l'empire de laquelle il a été conclu, aussi bien que de la disposition modifiée le 16 janvier 1974 applicable comme lex mitior selon l'autorité cantonale. En effet, dans les deux hypothèses, le montant du premier versement était insuffisant (10% au lieu de 40%, respectivement 35% du prix total). Il n'est dès lors pas nécessaire de décider laquelle des deux dispositions trouvait application en l'occurrence.</w:t>
      </w:r>
    </w:p>
    <w:p>
      <w:r>
        <w:rPr>
          <w:b/>
        </w:rPr>
        <w:t>E. 4</w:t>
      </w:r>
    </w:p>
    <w:p>
      <w:r>
        <w:t>L'autorité cantonale a libéré l'intimée pour le motif - saugrenu - que le contrat litigieux aurait été conclu pour une durée de deux mois, alors qu'aux termes de l'art. 5 al. 1 de l'ordonnance - abrogé le 16 janvier 1974 - et de l'art. 226m al. 4 CO, les contrats d'une durée inférieure à six mois échapperaient à la réglementation figurant à l'art. 6 de l'ordonnance. a) Il ressort clairement des art. 3 et 6 des dispositions générales du contrat litigieux que celui-ci n'est pas conclu pour deux mois au plus mais pour cette durée au moins, puisque c'est seulement à partir de ce moment que l'accord peut être résilié. Par ailleurs, le contrat est destiné à poursuivre ses effets aussi longtemps qu'une résiliation n'est pas intervenue ou que la propriété de l'objet loué-vendu n'a pas été transférée au locataire-acheteur, soit durant onze mois au plus, selon l'adjonction manuscrite déjà mentionnée. Enfin, si l'on veut mettre l'accent sur la possibilité de résilier le contrat après deux mois, on doit admettre qu'à partir de ce moment et jusqu'à l'échéance des 11 mois prévus le terme du contrat est dies incertus an et incertus quando. Le contrat doit dès lors être BGE 101 IV 98 S. 102 considéré comme conclu pour une durée indéterminée ou supérieure à six mois (onze mois). En effet, faute d'un accord préalable sur ce point, rien ne permet de tenir pour constant que la résiliation de l'accord ou l'achat de l'objet serait intervenu avant six mois (cf. GAUCH, System der Beendigung von Dauerverträgen, p. 17, 20/21, 23 et 24). b) Au surplus, les dispositions sur lesquelles l'autorité cantonale s'est fondée (art. 5 al. 1 de l'OCF du 10 janvier 1973 et art. 6 de l'ordonnance dans sa teneur de 1974) ne prévoient d'exceptions qu'à l'égard des contrats de location ou de leasing d'une durée déterminée inférieure à 6 mois, non à celui des autres contrats soumis aux règles de la vente par acomptes en vertu de l'art. 226m al. 1 CO, tel que celui de location-vente, mentionné expressément. c) Aux termes de l'art. 226m al. 4 CO, un régime exceptionnel est prévu pour les contrats dont le prix de vente global ne dépasse pas 200 fr., ni la durée six mois. Cette formulation négative, adoptée dans la version française, peut donner à penser que les deux conditions sont alternatives. Il ressort cependant sans équivoque des textes allemand et italien qu'elles sont cumulatives conformément au sens de la loi (STOFER, op.cit., p. 170). L'intimée ne soutenant pas avoir été induite en erreur par la version française de l'art. 226m al. 4 CO, le pourvoi doit être admis sans qu'il y ait à examiner quelle serait la portée d'un tel errement, au cas où il serait considéré comme excusable.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